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2585" w14:textId="77777777" w:rsidR="00D2136C" w:rsidRPr="00706F02" w:rsidRDefault="00D2136C" w:rsidP="00D21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GEOGRAFII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14:paraId="75ED358E" w14:textId="77777777" w:rsidR="00D2136C" w:rsidRPr="00706F02" w:rsidRDefault="00D2136C" w:rsidP="00D213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282C8B6A" w14:textId="2A32AF4B" w:rsidR="00D2136C" w:rsidRDefault="00D2136C" w:rsidP="00D2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 w:rsidR="00BE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kwiecień/ maj/ czerwiec</w:t>
      </w:r>
    </w:p>
    <w:p w14:paraId="4FED1AAD" w14:textId="77777777" w:rsidR="00D2136C" w:rsidRDefault="00D2136C" w:rsidP="00D213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2136C">
        <w:rPr>
          <w:rFonts w:ascii="Times New Roman" w:hAnsi="Times New Roman" w:cs="Times New Roman"/>
          <w:i/>
          <w:iCs/>
          <w:sz w:val="28"/>
          <w:szCs w:val="28"/>
        </w:rPr>
        <w:t>Sąsiedzi Polski.</w:t>
      </w:r>
      <w:r>
        <w:rPr>
          <w:rFonts w:cstheme="minorHAnsi"/>
          <w:b/>
          <w:bCs/>
          <w:sz w:val="18"/>
          <w:szCs w:val="17"/>
        </w:rPr>
        <w:t xml:space="preserve"> </w:t>
      </w:r>
    </w:p>
    <w:p w14:paraId="56254F64" w14:textId="77777777" w:rsidR="00D2136C" w:rsidRDefault="00D2136C" w:rsidP="00D2136C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D2136C" w14:paraId="34E54F31" w14:textId="77777777" w:rsidTr="00592568">
        <w:tc>
          <w:tcPr>
            <w:tcW w:w="704" w:type="dxa"/>
          </w:tcPr>
          <w:p w14:paraId="7063826C" w14:textId="77777777" w:rsidR="00D2136C" w:rsidRPr="00706F02" w:rsidRDefault="00D2136C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348F53EF" w14:textId="77777777" w:rsidR="00D2136C" w:rsidRPr="00706F02" w:rsidRDefault="00D2136C" w:rsidP="005925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7993C479" w14:textId="77777777" w:rsidR="00D2136C" w:rsidRPr="00706F02" w:rsidRDefault="00D2136C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D2136C" w14:paraId="2734F5BB" w14:textId="77777777" w:rsidTr="00592568">
        <w:tc>
          <w:tcPr>
            <w:tcW w:w="704" w:type="dxa"/>
          </w:tcPr>
          <w:p w14:paraId="5C1BE0BE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3489BFFA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Zmiany w przemyśle Niemiec. </w:t>
            </w:r>
          </w:p>
        </w:tc>
        <w:tc>
          <w:tcPr>
            <w:tcW w:w="5806" w:type="dxa"/>
          </w:tcPr>
          <w:p w14:paraId="20FA250B" w14:textId="6E2EA0D7" w:rsidR="00BE2BD1" w:rsidRDefault="00BE2BD1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  <w:bookmarkStart w:id="0" w:name="_GoBack"/>
            <w:bookmarkEnd w:id="0"/>
          </w:p>
          <w:p w14:paraId="2396A354" w14:textId="757B946E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rolę i znaczenie przemysłu w niemieckiej gospodarce</w:t>
            </w:r>
          </w:p>
          <w:p w14:paraId="65048842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analizuje strukturę zatrudnienia w przemyśle w Niemczech</w:t>
            </w:r>
          </w:p>
          <w:p w14:paraId="79EC3566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przyczyny zmian zapoczątkowanych w przemyśle w Niemczech w latach 60. XX w.</w:t>
            </w:r>
          </w:p>
          <w:p w14:paraId="75C979B2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przedstawia główne kierunki zmian w przemyśle w Nadrenii Północnej-Westfalii na podstawie mapy i fotografii</w:t>
            </w:r>
          </w:p>
          <w:p w14:paraId="4D4E9461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charakteryzuje nowoczesne przetwórstwo przemysłowe w Nadrenii Północnej-Westfalii na podstawie mapy</w:t>
            </w:r>
          </w:p>
          <w:p w14:paraId="5A9F2AAC" w14:textId="77777777" w:rsidR="00D2136C" w:rsidRPr="00D2136C" w:rsidRDefault="00D2136C" w:rsidP="00D2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wyjaśnia, czym jest sektor kreatywny i jakie jest jego znaczenie w Nadrenii Północnej-Westfalii</w:t>
            </w:r>
          </w:p>
        </w:tc>
      </w:tr>
      <w:tr w:rsidR="00D2136C" w14:paraId="7382FE55" w14:textId="77777777" w:rsidTr="00592568">
        <w:tc>
          <w:tcPr>
            <w:tcW w:w="704" w:type="dxa"/>
          </w:tcPr>
          <w:p w14:paraId="35C3DA54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359BA8B9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Turystyczne atrakcje Czech i Słowacji. </w:t>
            </w:r>
          </w:p>
        </w:tc>
        <w:tc>
          <w:tcPr>
            <w:tcW w:w="5806" w:type="dxa"/>
          </w:tcPr>
          <w:p w14:paraId="2FA4A3BD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środowisko przyrodnicze Czech i Słowacji na podstawie mapy </w:t>
            </w:r>
            <w:proofErr w:type="spellStart"/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14:paraId="5A2A5E07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podobieństwa i różnice między środowiskiem przyrodniczym Czech a środowiskiem przyrodniczym Słowacji</w:t>
            </w:r>
          </w:p>
          <w:p w14:paraId="2666209D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walory przyrodnicze i kulturowe Czech i Słowacji</w:t>
            </w:r>
          </w:p>
          <w:p w14:paraId="36FDFA5B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znaczenie turystyki aktywnej na Słowacji</w:t>
            </w:r>
          </w:p>
          <w:p w14:paraId="487A4E4C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przykładowe obiekty z </w:t>
            </w:r>
            <w:r w:rsidRPr="00D2136C">
              <w:rPr>
                <w:rFonts w:ascii="Times New Roman" w:hAnsi="Times New Roman" w:cs="Times New Roman"/>
                <w:i/>
                <w:sz w:val="20"/>
                <w:szCs w:val="20"/>
              </w:rPr>
              <w:t>Listy światowego dziedzictwa UNESCO</w:t>
            </w: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 znajdujące się w Czechach i na Słowacji</w:t>
            </w:r>
          </w:p>
          <w:p w14:paraId="171AA044" w14:textId="77777777" w:rsidR="00D2136C" w:rsidRPr="00D2136C" w:rsidRDefault="00D2136C" w:rsidP="00D2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uzasadnia, że Czechy i Słowacja to kraje atrakcyjne pod względem turystycznym</w:t>
            </w:r>
          </w:p>
        </w:tc>
      </w:tr>
      <w:tr w:rsidR="00D2136C" w14:paraId="58330740" w14:textId="77777777" w:rsidTr="00592568">
        <w:tc>
          <w:tcPr>
            <w:tcW w:w="704" w:type="dxa"/>
          </w:tcPr>
          <w:p w14:paraId="0363F479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2CA68785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Dziedzictwo przyrodnicze i kulturowe Litwy i Białorusi. </w:t>
            </w:r>
          </w:p>
        </w:tc>
        <w:tc>
          <w:tcPr>
            <w:tcW w:w="5806" w:type="dxa"/>
          </w:tcPr>
          <w:p w14:paraId="0BA9D0B0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środowisko przyrodniczego Litwy i Białorusi na podstawie map </w:t>
            </w:r>
            <w:proofErr w:type="spellStart"/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ogólnogeograficznych</w:t>
            </w:r>
            <w:proofErr w:type="spellEnd"/>
          </w:p>
          <w:p w14:paraId="0CB79B79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porównuje walory przyrodnicze Litwy i Białorusi na podstawie map i fotografii</w:t>
            </w:r>
          </w:p>
          <w:p w14:paraId="7AD438E3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przedstawia atrakcje turystyczne Litwy i Białorusi na podstawie mapy i fotografii</w:t>
            </w:r>
          </w:p>
          <w:p w14:paraId="3A9744B1" w14:textId="77777777" w:rsidR="00D2136C" w:rsidRPr="00D2136C" w:rsidRDefault="00D2136C" w:rsidP="00D2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korzystając z mapy, projektuje wycieczkę na Litwę i Białoruś</w:t>
            </w:r>
          </w:p>
        </w:tc>
      </w:tr>
      <w:tr w:rsidR="00D2136C" w14:paraId="6094ECB2" w14:textId="77777777" w:rsidTr="00592568">
        <w:tc>
          <w:tcPr>
            <w:tcW w:w="704" w:type="dxa"/>
          </w:tcPr>
          <w:p w14:paraId="38AA10FF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6F5ACBF1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Współczesne problemy Ukrainy. </w:t>
            </w:r>
          </w:p>
        </w:tc>
        <w:tc>
          <w:tcPr>
            <w:tcW w:w="5806" w:type="dxa"/>
          </w:tcPr>
          <w:p w14:paraId="094EDD6E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omawia warunki naturalne Ukrainy na podstawie mapy </w:t>
            </w:r>
            <w:proofErr w:type="spellStart"/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14:paraId="3191889F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cechy środowiska przyrodniczego Ukrainy sprzyjające rozwojowi gospodarki</w:t>
            </w:r>
          </w:p>
          <w:p w14:paraId="3733166D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surowce mineralne Ukrainy na podstawie mapy</w:t>
            </w:r>
          </w:p>
          <w:p w14:paraId="3DF02532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podaje przyczyny konfliktów na Ukrainie</w:t>
            </w:r>
          </w:p>
          <w:p w14:paraId="40CFC196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wskazuje na mapie obszary, nad którymi Ukraina utraciła kontrolę</w:t>
            </w:r>
          </w:p>
          <w:p w14:paraId="7D4269D6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podaje konsekwencje gospodarcze konfliktów na Ukrainie</w:t>
            </w:r>
          </w:p>
          <w:p w14:paraId="77E3287B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przyczyny zmian liczby ludności Ukrainy</w:t>
            </w:r>
          </w:p>
        </w:tc>
      </w:tr>
      <w:tr w:rsidR="00D2136C" w14:paraId="76B4AD1B" w14:textId="77777777" w:rsidTr="00592568">
        <w:tc>
          <w:tcPr>
            <w:tcW w:w="704" w:type="dxa"/>
          </w:tcPr>
          <w:p w14:paraId="4C4945CD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32079AD9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Zróżnicowanie przyrodnicze i gospodarcze Rosji. </w:t>
            </w:r>
          </w:p>
        </w:tc>
        <w:tc>
          <w:tcPr>
            <w:tcW w:w="5806" w:type="dxa"/>
          </w:tcPr>
          <w:p w14:paraId="68CC3459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omawia cechy charakterystyczne środowiska przyrodniczego Rosji na podstawie mapy </w:t>
            </w:r>
            <w:proofErr w:type="spellStart"/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14:paraId="7D01190A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największe krainy geograficzne Rosji</w:t>
            </w:r>
          </w:p>
          <w:p w14:paraId="2E2A8540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wskazuje miejsca występowania najważniejszych surowców mineralnych oraz największe okręgi przemysłowe na mapie gospodarczej Rosji</w:t>
            </w:r>
          </w:p>
          <w:p w14:paraId="3046C264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charakteryzuje czynniki decydujące o lokalizacji największych okręgów przemysłowych Rosji na podstawie mapy</w:t>
            </w:r>
          </w:p>
          <w:p w14:paraId="259C3D83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znaczenie przemysłu dla gospodarki Rosji</w:t>
            </w:r>
          </w:p>
          <w:p w14:paraId="75F0937E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cechy rolnictwa Rosji</w:t>
            </w:r>
          </w:p>
          <w:p w14:paraId="29573EDD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wymienia główne uprawy na podstawie mapy gospodarki Rosji </w:t>
            </w:r>
          </w:p>
          <w:p w14:paraId="131361F4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rolę usług w Rosji</w:t>
            </w:r>
          </w:p>
          <w:p w14:paraId="69A193EC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przedstawia wpływ konfliktów na Ukrainie na Rosję</w:t>
            </w:r>
          </w:p>
        </w:tc>
      </w:tr>
      <w:tr w:rsidR="00D2136C" w14:paraId="0A11978D" w14:textId="77777777" w:rsidTr="00592568">
        <w:tc>
          <w:tcPr>
            <w:tcW w:w="704" w:type="dxa"/>
          </w:tcPr>
          <w:p w14:paraId="0C61E5FD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552" w:type="dxa"/>
          </w:tcPr>
          <w:p w14:paraId="22C0D415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Relacje Polski z sąsiadami. </w:t>
            </w:r>
          </w:p>
        </w:tc>
        <w:tc>
          <w:tcPr>
            <w:tcW w:w="5806" w:type="dxa"/>
          </w:tcPr>
          <w:p w14:paraId="5A94F3CE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opisuje stosunki Polski z Rosją, Niemcami oraz innym wybranym sąsiednim krajem</w:t>
            </w:r>
          </w:p>
          <w:p w14:paraId="1F5A1F4C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przykłady współpracy Polski z sąsiadami</w:t>
            </w:r>
          </w:p>
          <w:p w14:paraId="5F6F6AF1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wymienia wybrane euroregiony i wskazuje je na mapie</w:t>
            </w:r>
          </w:p>
          <w:p w14:paraId="50669291" w14:textId="77777777" w:rsidR="00D2136C" w:rsidRPr="00D2136C" w:rsidRDefault="00D2136C" w:rsidP="00D2136C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>• omawia znaczenie euroregionów i ich wspólne działania dla rozwoju gospodarki, turystyki i kultury na obszarach przygranicznych</w:t>
            </w:r>
          </w:p>
        </w:tc>
      </w:tr>
      <w:tr w:rsidR="00D2136C" w14:paraId="798F9725" w14:textId="77777777" w:rsidTr="00592568">
        <w:tc>
          <w:tcPr>
            <w:tcW w:w="704" w:type="dxa"/>
          </w:tcPr>
          <w:p w14:paraId="5FEFABA7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0898FEB0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706F5151" w14:textId="77777777" w:rsidR="00D2136C" w:rsidRPr="00D2136C" w:rsidRDefault="00D2136C" w:rsidP="00592568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badanie osiągnięć ucznia i efektów kształcenia. </w:t>
            </w:r>
          </w:p>
        </w:tc>
      </w:tr>
      <w:tr w:rsidR="00D2136C" w14:paraId="53E2648A" w14:textId="77777777" w:rsidTr="00592568">
        <w:tc>
          <w:tcPr>
            <w:tcW w:w="704" w:type="dxa"/>
          </w:tcPr>
          <w:p w14:paraId="14A65710" w14:textId="77777777" w:rsidR="00D2136C" w:rsidRPr="00D2136C" w:rsidRDefault="00D2136C" w:rsidP="00592568">
            <w:pPr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52" w:type="dxa"/>
          </w:tcPr>
          <w:p w14:paraId="4C66B496" w14:textId="77777777" w:rsidR="00D2136C" w:rsidRPr="00D2136C" w:rsidRDefault="00D2136C" w:rsidP="00592568">
            <w:pPr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D2136C">
              <w:rPr>
                <w:rFonts w:ascii="Times New Roman" w:hAnsi="Times New Roman" w:cs="Times New Roman"/>
              </w:rPr>
              <w:t>Sprawdzenie</w:t>
            </w:r>
            <w:r w:rsidRPr="00D2136C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D2136C">
              <w:rPr>
                <w:rFonts w:ascii="Times New Roman" w:hAnsi="Times New Roman" w:cs="Times New Roman"/>
                <w:i/>
                <w:iCs/>
              </w:rPr>
              <w:t xml:space="preserve">Sąsiedzi Polski.  </w:t>
            </w:r>
          </w:p>
        </w:tc>
        <w:tc>
          <w:tcPr>
            <w:tcW w:w="5806" w:type="dxa"/>
          </w:tcPr>
          <w:p w14:paraId="1B2ACC0A" w14:textId="77777777" w:rsidR="00D2136C" w:rsidRPr="00D2136C" w:rsidRDefault="00D2136C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5. </w:t>
            </w:r>
          </w:p>
        </w:tc>
      </w:tr>
    </w:tbl>
    <w:p w14:paraId="2F37D1DC" w14:textId="77777777" w:rsidR="00D2136C" w:rsidRDefault="00D2136C" w:rsidP="00D2136C">
      <w:pPr>
        <w:jc w:val="both"/>
        <w:rPr>
          <w:rFonts w:ascii="Times New Roman" w:hAnsi="Times New Roman" w:cs="Times New Roman"/>
        </w:rPr>
      </w:pPr>
    </w:p>
    <w:p w14:paraId="0B7AA297" w14:textId="77777777" w:rsidR="00D2136C" w:rsidRDefault="00D2136C" w:rsidP="00D2136C">
      <w:pPr>
        <w:jc w:val="both"/>
        <w:rPr>
          <w:rFonts w:ascii="Times New Roman" w:hAnsi="Times New Roman" w:cs="Times New Roman"/>
        </w:rPr>
      </w:pPr>
    </w:p>
    <w:p w14:paraId="7ABC4123" w14:textId="77777777" w:rsidR="00D2136C" w:rsidRPr="00E71D66" w:rsidRDefault="00D2136C" w:rsidP="00D2136C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31BC418" w14:textId="77777777" w:rsidR="00D2136C" w:rsidRPr="00E71D66" w:rsidRDefault="00D2136C" w:rsidP="00D2136C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7B3E813D" w14:textId="77777777" w:rsidR="00D2136C" w:rsidRPr="00E71D66" w:rsidRDefault="00D2136C" w:rsidP="00D2136C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27F10E07" w14:textId="77777777" w:rsidR="00CB7454" w:rsidRDefault="00CB7454"/>
    <w:sectPr w:rsid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C"/>
    <w:rsid w:val="00BE2BD1"/>
    <w:rsid w:val="00CB7454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2F6A"/>
  <w15:chartTrackingRefBased/>
  <w15:docId w15:val="{0B30CBC8-0281-4612-8B79-FF42671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2019-10-21T18:42:00Z</dcterms:created>
  <dcterms:modified xsi:type="dcterms:W3CDTF">2019-10-21T18:54:00Z</dcterms:modified>
</cp:coreProperties>
</file>